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6A" w:rsidRPr="00464076" w:rsidRDefault="0070536A" w:rsidP="00464076">
      <w:pPr>
        <w:shd w:val="clear" w:color="auto" w:fill="FFFFFF"/>
        <w:spacing w:before="120" w:after="0" w:line="240" w:lineRule="auto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АННОТАЦИЯ  к содержанию  области «Художественно-эстетическое развитие» образовательной программы. 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Теоретико-методологическую основу отбора содержания и достижения целей и задач рабочей программы по художественно-эстетическому развитию детей дошкольного возраста составляют </w:t>
      </w:r>
      <w:r w:rsidRPr="00464076">
        <w:rPr>
          <w:rFonts w:ascii="Tahoma" w:hAnsi="Tahoma" w:cs="Tahoma"/>
          <w:i/>
          <w:iCs/>
          <w:color w:val="000000"/>
          <w:sz w:val="21"/>
          <w:szCs w:val="21"/>
          <w:lang w:eastAsia="ru-RU"/>
        </w:rPr>
        <w:t>аксиологический, культорологический  и личностно – деятельностный подходы.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firstLine="53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ahoma" w:hAnsi="Tahoma" w:cs="Tahoma"/>
          <w:color w:val="000000"/>
          <w:sz w:val="21"/>
          <w:szCs w:val="21"/>
          <w:lang w:eastAsia="ru-RU"/>
        </w:rPr>
        <w:t>С точки зрения </w:t>
      </w:r>
      <w:r w:rsidRPr="00464076">
        <w:rPr>
          <w:rFonts w:ascii="Tahoma" w:hAnsi="Tahoma" w:cs="Tahoma"/>
          <w:b/>
          <w:bCs/>
          <w:i/>
          <w:iCs/>
          <w:color w:val="000000"/>
          <w:sz w:val="21"/>
          <w:szCs w:val="21"/>
          <w:lang w:eastAsia="ru-RU"/>
        </w:rPr>
        <w:t>аксиологического подхода</w:t>
      </w:r>
      <w:r w:rsidRPr="00464076">
        <w:rPr>
          <w:rFonts w:ascii="Tahoma" w:hAnsi="Tahoma" w:cs="Tahoma"/>
          <w:color w:val="000000"/>
          <w:sz w:val="21"/>
          <w:szCs w:val="21"/>
          <w:lang w:eastAsia="ru-RU"/>
        </w:rPr>
        <w:t>,  произведения искусства, предлагающиеся вниманию детей, и продукты художественно-эстетической деятельности могут рассматриваться как художественно-эстетическая ценность.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ahoma" w:hAnsi="Tahoma" w:cs="Tahoma"/>
          <w:b/>
          <w:bCs/>
          <w:i/>
          <w:iCs/>
          <w:color w:val="000000"/>
          <w:sz w:val="21"/>
          <w:szCs w:val="21"/>
          <w:lang w:eastAsia="ru-RU"/>
        </w:rPr>
        <w:t>Культурологический подход заключается в </w:t>
      </w:r>
      <w:r w:rsidRPr="00464076">
        <w:rPr>
          <w:rFonts w:ascii="Tahoma" w:hAnsi="Tahoma" w:cs="Tahoma"/>
          <w:color w:val="000000"/>
          <w:sz w:val="21"/>
          <w:szCs w:val="21"/>
          <w:lang w:eastAsia="ru-RU"/>
        </w:rPr>
        <w:t>компетентном отборе произведений для синтеза искусств при организации восприятия детей.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Личностно-деятельностный подход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 предполагает организацию деятельности, в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утилитарно-прагматических до ценностных.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3)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4)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5)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сотрудничество ДОУ с семьей;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6)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7)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художественно-эстетической деятельности;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8)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9)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Представленная парциальная программа по художественно-эстетическому развитию детей дошкольного возраста обеспечивает преемственность с</w:t>
      </w:r>
      <w:r w:rsidRPr="004640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примерными основными образовательными программами дошкольного образования.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«Художественно-эстетическое развитие»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Нормативно-правовую основу для разработки рабочей программы образовательной области «Художественно-эстетическое развитие» составляют: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 МБДОУ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Российской Федерации от 29.12.12 № 273-ФЗ «Об образовании в Российской Федерации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Приказ 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,Приказ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70536A" w:rsidRPr="00464076" w:rsidRDefault="0070536A" w:rsidP="0046407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художественно-эстетической 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Общеразвивающая направленность  художественно-эстетической 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детей, поэтому содержание образования может быть раскрыто на основе интеграции с содержанием других образовательных областей: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- «Социально – коммуникативное» и «Речевое развитие» (развитие свободного общения с взрослыми и сверстниками по поводу процесса и результатов художественно-эстетической деятельности);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- «Познавательное развитие» (формирование целостной картины мира и расширение кругозора детей);</w:t>
      </w:r>
    </w:p>
    <w:p w:rsidR="0070536A" w:rsidRPr="00464076" w:rsidRDefault="0070536A" w:rsidP="0046407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hAnsi="Times New Roman"/>
          <w:color w:val="000000"/>
          <w:sz w:val="24"/>
          <w:szCs w:val="24"/>
          <w:lang w:eastAsia="ru-RU"/>
        </w:rPr>
        <w:t>- «Физическое развитие» (развитие мелкой моторики рук, развитие глазомера, зрительного восприятия, арттерапия).</w:t>
      </w:r>
    </w:p>
    <w:p w:rsidR="0070536A" w:rsidRDefault="0070536A">
      <w:bookmarkStart w:id="0" w:name="_GoBack"/>
      <w:bookmarkEnd w:id="0"/>
    </w:p>
    <w:sectPr w:rsidR="0070536A" w:rsidSect="00F3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76"/>
    <w:rsid w:val="00464076"/>
    <w:rsid w:val="00635F6F"/>
    <w:rsid w:val="0070536A"/>
    <w:rsid w:val="007337EB"/>
    <w:rsid w:val="00985D01"/>
    <w:rsid w:val="00D20302"/>
    <w:rsid w:val="00F353B6"/>
    <w:rsid w:val="00FE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996</Words>
  <Characters>5681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к содержанию  области «Художественно-эстетическое развитие» образовательной программы</dc:title>
  <dc:subject/>
  <dc:creator>Test</dc:creator>
  <cp:keywords/>
  <dc:description/>
  <cp:lastModifiedBy>21</cp:lastModifiedBy>
  <cp:revision>2</cp:revision>
  <dcterms:created xsi:type="dcterms:W3CDTF">2015-11-02T07:35:00Z</dcterms:created>
  <dcterms:modified xsi:type="dcterms:W3CDTF">2015-11-02T07:35:00Z</dcterms:modified>
</cp:coreProperties>
</file>